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Segoe UI Symbol" w:hAnsi="Segoe UI Symbol" w:cs="Segoe UI Symbol" w:eastAsia="Segoe UI Symbol"/>
          <w:b/>
          <w:i/>
          <w:color w:val="FF0000"/>
          <w:spacing w:val="0"/>
          <w:position w:val="0"/>
          <w:sz w:val="7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</w:pPr>
      <w:r>
        <w:rPr>
          <w:rFonts w:ascii="Segoe UI Symbol" w:hAnsi="Segoe UI Symbol" w:cs="Segoe UI Symbol" w:eastAsia="Segoe UI Symbol"/>
          <w:b/>
          <w:i/>
          <w:color w:val="FF0000"/>
          <w:spacing w:val="0"/>
          <w:position w:val="0"/>
          <w:sz w:val="7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 22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Картотека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игр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природным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FF0000"/>
          <w:spacing w:val="0"/>
          <w:position w:val="0"/>
          <w:sz w:val="72"/>
          <w:shd w:fill="auto" w:val="clear"/>
        </w:rPr>
        <w:t xml:space="preserve">материалом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Волшебные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фигуры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быть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проведена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время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прогулки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уголке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экспериментирования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групповом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помещении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уточнение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представлений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фигурах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Оборудование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мелким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бумаги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числу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клеевой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карандаш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Ход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игры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приглашает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раздает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бумаги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быстро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рисует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клеевым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карандашом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соответствии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программными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требованиями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каждой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возрастной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группы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Затем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предлагает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землю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столы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засыпать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слоем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аккуратно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поднять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стряхнуть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Вместе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детьми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удивляется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тому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появились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предложению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рассказывают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каждого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Усложняя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нарисовать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различные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изображения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например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домик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треугольника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снеговика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размера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Тогда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рассказывают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изображения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возникли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состоят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Когда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изображения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высохнут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использовать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развития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осязания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Тогда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предложению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закрывают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глаза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кладет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перед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каждым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песчаной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ощупывают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изображения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называют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открывают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глаза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проверяют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правильность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своего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ответа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Куличики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проводиться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весенне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летний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период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улице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любое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время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года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центре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экспериментирования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уточнение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представлений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предметов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Оборудование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числу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совочки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числу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Ход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игры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собирает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возле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показывает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новые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разрешает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взять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руки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рассмотреть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рассказать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ответах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закрепляются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прилагательные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Затем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предлагает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сделать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помощью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новых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формочек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предложению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рассказывают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нужно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делать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Затем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делают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рассказывают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ответах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закрепляются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прилагательные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помощью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делают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вывод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получился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украсить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камешками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сухими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листиками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другим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природным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материалом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обсудить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красивые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получились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Построим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забор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проводиться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улице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Набор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формочек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соответствует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программным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требованиям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каждой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возрастной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группы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Цели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уточнение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знаний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предметов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Упражнения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различении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предметов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Упражнения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различении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треугольник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предметов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правильном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назывании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Развитие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логического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мышления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Оборудование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числу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совочки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числу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Ход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игры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собирает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возле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показывает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уже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знакомые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предложению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рассказывают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предлагает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построить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забор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вокруг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песочницы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чередуя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таким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образом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напомнить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правильно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делать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куличики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чтобы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рассыпались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строят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забор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все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вместе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оптом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украшают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его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природным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материалом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Игры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водой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28"/>
          <w:shd w:fill="auto" w:val="clear"/>
        </w:rPr>
        <w:t xml:space="preserve">Рыбаки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проводиться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летом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жаркую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погоду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детьми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младшей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группы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развитие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цветовосприятия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цветоразличения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Оборудование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надувной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ванночка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теплой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4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бамбуковых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тросточки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длиной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80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шнур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большие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магниты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пластмассовые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металлические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окрашенные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основные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красный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желтый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зеленый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синий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),  4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ведерка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цветов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Предварительная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Перед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прогулкой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опускает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разноцветных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выполненных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металла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пластика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снабженных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металлическими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кружками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глазками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;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готовит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удочки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привязав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шнуры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магнитами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Ход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игры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Когда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обнаружат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время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прогулки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разноцветных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новую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должен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достать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удочки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ведерки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четверым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поучаствовать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соревновании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Каждый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играющий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должен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поймать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ведерко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ведерко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Перед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началом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прочитать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стихотворение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словно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мотылек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взлетела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Глазик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темный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уголек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льдинка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тело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Плавнички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дрожат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трепещут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Спинка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выгнулась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дугой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Чешуинки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так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блещут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красавицы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такой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собрался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рыбалку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Только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рыбешку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жалко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Далее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команде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ловят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складывают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ведерки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Побеждает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ребенок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который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первым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поймает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всех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рыбок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своего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Далее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продолжает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следующей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четверкой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Необычная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рыбалка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проводится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летом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жаркую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погоду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мини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детьми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младшей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группы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развитие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математических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представлений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совершенствование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умения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различать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Оборудование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надувной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ванночка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теплой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3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бамбуковых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тросточки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длиной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80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шнур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большие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магниты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пластмассовые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металлические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треугольник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окрашенные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основные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красный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желтый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зеленый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синий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), 3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круглый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квадратный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треугольный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Предварительная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Перед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прогулкой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опускает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разноцветные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геометрические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пластика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снабженные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металлическими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кружками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)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металла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;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готовит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удочки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привязав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шнуры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магнитами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Ход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игры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Когд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обнаружат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время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прогулки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разноцветные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расскажут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называются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цвета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может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новую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должен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достать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удочки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троим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поучаствовать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соревновании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Каждый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играющий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должен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поймать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имеющие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такую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форму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сам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Далее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команде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ловят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складывают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Побеждает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ребенок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который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первым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поймает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все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свои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Далее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продолжается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следующей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группой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Морские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камешки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проводится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летом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жаркую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погоду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детьми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любой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возрастной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группы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развитие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зрительногогнозиса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конструктивного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прасксиса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Оборудование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надувной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ванночка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теплой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разноцветные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морские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камешки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подбор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которых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зависит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детьми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возраста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проводится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Предварительная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Перед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прогулкой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опускает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морские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камешки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скамейке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выкладывает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таких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узор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который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нужно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продолжить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Ход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игры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EEECE1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предлагает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поиграть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показывает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узор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который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нужно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продолжить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выловив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камешки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вылавливают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фигуры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продолжают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узор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Водичка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водичка</w:t>
      </w:r>
      <w:r>
        <w:rPr>
          <w:rFonts w:ascii="Times New Roman" w:hAnsi="Times New Roman" w:cs="Times New Roman" w:eastAsia="Times New Roman"/>
          <w:b/>
          <w:color w:val="4A442A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проводится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летом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жаркую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погоду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развитие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первичных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естественно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научных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представлений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надувной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ванночка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теплой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прозрачные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пластиковые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сосуды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контейнеры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глиной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ковш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совки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Предварительная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Разучивание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стихотворного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текста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Ход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4A442A"/>
          <w:spacing w:val="0"/>
          <w:position w:val="0"/>
          <w:sz w:val="28"/>
          <w:shd w:fill="auto" w:val="clear"/>
        </w:rPr>
        <w:t xml:space="preserve">игры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приглашает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проговаривают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текст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игры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совершая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соответствующие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тексту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действия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два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три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четыре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Ручки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опустили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похлопаем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ладоши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побрызгаем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немножко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ладошки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ладошку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Льются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капельки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горошки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садятся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вокруг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бассейна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опускают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него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руки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Хлопают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ладоши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Легко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загребают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ладошками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Переливают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ладошки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ладошку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ставит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стул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скамейку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сосуды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предлагает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налить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Когда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выполняют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просьбу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предлагает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один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сосуд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насыпать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совок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другой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положить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совок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глины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хорошо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размешать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выполняют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задание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наблюдают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за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тем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происходит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песком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глиной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какой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становится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обоих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сосудах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Педагог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помогает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детям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сделать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вывод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: «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Песок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растворился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постепенно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осел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дно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стала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прозрачной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Глина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частично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растворилась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вода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сосуде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стала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мутной</w:t>
      </w:r>
      <w:r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4A442A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